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2EAD4" w14:textId="77777777" w:rsidR="00CD344F" w:rsidRDefault="00CD344F" w:rsidP="00CD344F">
      <w:pPr>
        <w:pStyle w:val="NormalWeb"/>
        <w:jc w:val="center"/>
        <w:rPr>
          <w:rFonts w:ascii="Tahoma" w:hAnsi="Tahoma" w:cs="Tahoma"/>
          <w:color w:val="000000"/>
          <w:sz w:val="22"/>
          <w:szCs w:val="22"/>
        </w:rPr>
      </w:pPr>
      <w:r>
        <w:rPr>
          <w:rFonts w:ascii="Tahoma" w:hAnsi="Tahoma" w:cs="Tahoma"/>
          <w:color w:val="663300"/>
          <w:sz w:val="22"/>
          <w:szCs w:val="22"/>
        </w:rPr>
        <w:t>CARTA APOSTÓLICA</w:t>
      </w:r>
    </w:p>
    <w:p w14:paraId="6D078B33" w14:textId="77777777" w:rsidR="00CD344F" w:rsidRDefault="00CD344F" w:rsidP="00CD344F">
      <w:pPr>
        <w:pStyle w:val="NormalWeb"/>
        <w:jc w:val="center"/>
        <w:rPr>
          <w:rFonts w:ascii="Tahoma" w:hAnsi="Tahoma" w:cs="Tahoma"/>
          <w:color w:val="000000"/>
          <w:sz w:val="22"/>
          <w:szCs w:val="22"/>
        </w:rPr>
      </w:pPr>
      <w:r>
        <w:rPr>
          <w:rFonts w:ascii="Tahoma" w:hAnsi="Tahoma" w:cs="Tahoma"/>
          <w:b/>
          <w:bCs/>
          <w:i/>
          <w:iCs/>
          <w:color w:val="663300"/>
          <w:sz w:val="27"/>
          <w:szCs w:val="27"/>
        </w:rPr>
        <w:t>PATRIS CORDE</w:t>
      </w:r>
    </w:p>
    <w:p w14:paraId="5574089B" w14:textId="77777777" w:rsidR="00CD344F" w:rsidRDefault="00CD344F" w:rsidP="00CD344F">
      <w:pPr>
        <w:pStyle w:val="NormalWeb"/>
        <w:jc w:val="center"/>
        <w:rPr>
          <w:rFonts w:ascii="Tahoma" w:hAnsi="Tahoma" w:cs="Tahoma"/>
          <w:color w:val="000000"/>
          <w:sz w:val="22"/>
          <w:szCs w:val="22"/>
        </w:rPr>
      </w:pPr>
      <w:r>
        <w:rPr>
          <w:rFonts w:ascii="Tahoma" w:hAnsi="Tahoma" w:cs="Tahoma"/>
          <w:b/>
          <w:bCs/>
          <w:color w:val="663300"/>
          <w:sz w:val="22"/>
          <w:szCs w:val="22"/>
        </w:rPr>
        <w:t>DEL SANTO PADRE FRANCISCO</w:t>
      </w:r>
    </w:p>
    <w:p w14:paraId="5F7AFD7F" w14:textId="77777777" w:rsidR="00CD344F" w:rsidRDefault="00CD344F" w:rsidP="00CD344F">
      <w:pPr>
        <w:pStyle w:val="NormalWeb"/>
        <w:jc w:val="center"/>
        <w:rPr>
          <w:rFonts w:ascii="Tahoma" w:hAnsi="Tahoma" w:cs="Tahoma"/>
          <w:color w:val="000000"/>
          <w:sz w:val="22"/>
          <w:szCs w:val="22"/>
        </w:rPr>
      </w:pPr>
      <w:r>
        <w:rPr>
          <w:rFonts w:ascii="Tahoma" w:hAnsi="Tahoma" w:cs="Tahoma"/>
          <w:color w:val="663300"/>
          <w:sz w:val="22"/>
          <w:szCs w:val="22"/>
        </w:rPr>
        <w:t>CON MOTIVO DEL 150.° ANIVERSARIO</w:t>
      </w:r>
      <w:r>
        <w:rPr>
          <w:rStyle w:val="apple-converted-space"/>
          <w:rFonts w:ascii="Tahoma" w:hAnsi="Tahoma" w:cs="Tahoma"/>
          <w:color w:val="663300"/>
          <w:sz w:val="22"/>
          <w:szCs w:val="22"/>
        </w:rPr>
        <w:t> </w:t>
      </w:r>
      <w:r>
        <w:rPr>
          <w:rFonts w:ascii="Tahoma" w:hAnsi="Tahoma" w:cs="Tahoma"/>
          <w:color w:val="663300"/>
          <w:sz w:val="22"/>
          <w:szCs w:val="22"/>
        </w:rPr>
        <w:br/>
        <w:t>DE LA DECLARACIÓN DE SAN JOSÉ</w:t>
      </w:r>
      <w:r>
        <w:rPr>
          <w:rStyle w:val="apple-converted-space"/>
          <w:rFonts w:ascii="Tahoma" w:hAnsi="Tahoma" w:cs="Tahoma"/>
          <w:color w:val="663300"/>
          <w:sz w:val="22"/>
          <w:szCs w:val="22"/>
        </w:rPr>
        <w:t> </w:t>
      </w:r>
      <w:r>
        <w:rPr>
          <w:rFonts w:ascii="Tahoma" w:hAnsi="Tahoma" w:cs="Tahoma"/>
          <w:color w:val="663300"/>
          <w:sz w:val="22"/>
          <w:szCs w:val="22"/>
        </w:rPr>
        <w:br/>
        <w:t>COMO PATRONO DE LA IGLESIA UNIVERSAL</w:t>
      </w:r>
    </w:p>
    <w:p w14:paraId="0C5BCD27" w14:textId="77777777" w:rsidR="00CD344F" w:rsidRDefault="00CD344F" w:rsidP="00CD344F">
      <w:pPr>
        <w:pStyle w:val="NormalWeb"/>
        <w:rPr>
          <w:rFonts w:ascii="Tahoma" w:hAnsi="Tahoma" w:cs="Tahoma"/>
          <w:color w:val="000000"/>
          <w:sz w:val="22"/>
          <w:szCs w:val="22"/>
        </w:rPr>
      </w:pPr>
      <w:r>
        <w:rPr>
          <w:rFonts w:ascii="Tahoma" w:hAnsi="Tahoma" w:cs="Tahoma"/>
          <w:color w:val="000000"/>
          <w:sz w:val="22"/>
          <w:szCs w:val="22"/>
        </w:rPr>
        <w:t> </w:t>
      </w:r>
      <w:bookmarkStart w:id="0" w:name="_GoBack"/>
      <w:bookmarkEnd w:id="0"/>
    </w:p>
    <w:p w14:paraId="38DA06BE" w14:textId="77777777" w:rsidR="00CD344F" w:rsidRDefault="00CD344F" w:rsidP="00CD344F">
      <w:pPr>
        <w:pStyle w:val="NormalWeb"/>
        <w:rPr>
          <w:rFonts w:ascii="Tahoma" w:hAnsi="Tahoma" w:cs="Tahoma"/>
          <w:color w:val="000000"/>
          <w:sz w:val="22"/>
          <w:szCs w:val="22"/>
        </w:rPr>
      </w:pPr>
      <w:r>
        <w:rPr>
          <w:rFonts w:ascii="Tahoma" w:hAnsi="Tahoma" w:cs="Tahoma"/>
          <w:color w:val="000000"/>
          <w:sz w:val="22"/>
          <w:szCs w:val="22"/>
        </w:rPr>
        <w:t>Con corazón de padre: así José amó a Jesús, llamado en los cuatro Evangelios «</w:t>
      </w:r>
      <w:r>
        <w:rPr>
          <w:rFonts w:ascii="Tahoma" w:hAnsi="Tahoma" w:cs="Tahoma"/>
          <w:i/>
          <w:iCs/>
          <w:color w:val="000000"/>
          <w:sz w:val="22"/>
          <w:szCs w:val="22"/>
        </w:rPr>
        <w:t>el hijo de José</w:t>
      </w:r>
      <w:r>
        <w:rPr>
          <w:rFonts w:ascii="Tahoma" w:hAnsi="Tahoma" w:cs="Tahoma"/>
          <w:color w:val="000000"/>
          <w:sz w:val="22"/>
          <w:szCs w:val="22"/>
        </w:rPr>
        <w:t>»</w:t>
      </w:r>
      <w:bookmarkStart w:id="1" w:name="_ftnref1"/>
      <w:r>
        <w:rPr>
          <w:rFonts w:ascii="Tahoma" w:hAnsi="Tahoma" w:cs="Tahoma"/>
          <w:color w:val="000000"/>
          <w:sz w:val="22"/>
          <w:szCs w:val="22"/>
        </w:rPr>
        <w:fldChar w:fldCharType="begin"/>
      </w:r>
      <w:r>
        <w:rPr>
          <w:rFonts w:ascii="Tahoma" w:hAnsi="Tahoma" w:cs="Tahoma"/>
          <w:color w:val="000000"/>
          <w:sz w:val="22"/>
          <w:szCs w:val="22"/>
        </w:rPr>
        <w:instrText xml:space="preserve"> HYPERLINK "http://www.vatican.va/content/francesco/es/apost_letters/documents/papa-francesco-lettera-ap_20201208_patris-corde.html" \l "_ftn1" \o "" </w:instrText>
      </w:r>
      <w:r>
        <w:rPr>
          <w:rFonts w:ascii="Tahoma" w:hAnsi="Tahoma" w:cs="Tahoma"/>
          <w:color w:val="000000"/>
          <w:sz w:val="22"/>
          <w:szCs w:val="22"/>
        </w:rPr>
        <w:fldChar w:fldCharType="separate"/>
      </w:r>
      <w:r>
        <w:rPr>
          <w:rStyle w:val="Hipervnculo"/>
          <w:rFonts w:ascii="Tahoma" w:hAnsi="Tahoma" w:cs="Tahoma"/>
          <w:color w:val="000000"/>
          <w:sz w:val="22"/>
          <w:szCs w:val="22"/>
        </w:rPr>
        <w:t>[1]</w:t>
      </w:r>
      <w:r>
        <w:rPr>
          <w:rFonts w:ascii="Tahoma" w:hAnsi="Tahoma" w:cs="Tahoma"/>
          <w:color w:val="000000"/>
          <w:sz w:val="22"/>
          <w:szCs w:val="22"/>
        </w:rPr>
        <w:fldChar w:fldCharType="end"/>
      </w:r>
      <w:bookmarkEnd w:id="1"/>
      <w:r>
        <w:rPr>
          <w:rFonts w:ascii="Tahoma" w:hAnsi="Tahoma" w:cs="Tahoma"/>
          <w:color w:val="000000"/>
          <w:sz w:val="22"/>
          <w:szCs w:val="22"/>
        </w:rPr>
        <w:t>.</w:t>
      </w:r>
    </w:p>
    <w:p w14:paraId="1F417BFF" w14:textId="77777777" w:rsidR="00CD344F" w:rsidRDefault="00CD344F" w:rsidP="00CD344F">
      <w:pPr>
        <w:pStyle w:val="NormalWeb"/>
        <w:rPr>
          <w:rFonts w:ascii="Tahoma" w:hAnsi="Tahoma" w:cs="Tahoma"/>
          <w:color w:val="000000"/>
          <w:sz w:val="22"/>
          <w:szCs w:val="22"/>
        </w:rPr>
      </w:pPr>
      <w:r>
        <w:rPr>
          <w:rFonts w:ascii="Tahoma" w:hAnsi="Tahoma" w:cs="Tahoma"/>
          <w:color w:val="000000"/>
          <w:sz w:val="22"/>
          <w:szCs w:val="22"/>
        </w:rPr>
        <w:t>Los dos evangelistas que evidenciaron su figura, Mateo y Lucas, refieren poco, pero lo suficiente para entender qué tipo de padre fuese y la misión que la Providencia le confió.</w:t>
      </w:r>
      <w:r>
        <w:rPr>
          <w:rStyle w:val="apple-converted-space"/>
          <w:rFonts w:ascii="Tahoma" w:hAnsi="Tahoma" w:cs="Tahoma"/>
          <w:color w:val="000000"/>
          <w:sz w:val="22"/>
          <w:szCs w:val="22"/>
        </w:rPr>
        <w:t> </w:t>
      </w:r>
    </w:p>
    <w:p w14:paraId="2E3E985D" w14:textId="77777777" w:rsidR="00CD344F" w:rsidRDefault="00CD344F" w:rsidP="00CD344F">
      <w:pPr>
        <w:pStyle w:val="NormalWeb"/>
        <w:rPr>
          <w:rFonts w:ascii="Tahoma" w:hAnsi="Tahoma" w:cs="Tahoma"/>
          <w:color w:val="000000"/>
          <w:sz w:val="22"/>
          <w:szCs w:val="22"/>
        </w:rPr>
      </w:pPr>
      <w:r>
        <w:rPr>
          <w:rFonts w:ascii="Tahoma" w:hAnsi="Tahoma" w:cs="Tahoma"/>
          <w:color w:val="000000"/>
          <w:sz w:val="22"/>
          <w:szCs w:val="22"/>
        </w:rPr>
        <w:t>Sabemos que fue un humilde carpintero (cf.</w:t>
      </w:r>
      <w:r>
        <w:rPr>
          <w:rStyle w:val="apple-converted-space"/>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13,55), desposado con María (cf.</w:t>
      </w:r>
      <w:r>
        <w:rPr>
          <w:rStyle w:val="apple-converted-space"/>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1,18;</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1,27); un «hombre justo»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1,19), siempre dispuesto a hacer la voluntad de Dios manifestada en su ley (cf.</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2,22.27.39) y a través de los cuatro sueños que tuvo (cf.</w:t>
      </w:r>
      <w:r>
        <w:rPr>
          <w:rStyle w:val="apple-converted-space"/>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1,20; 2,13.19.22). Después de un largo y duro viaje de Nazaret a Belén, vio nacer al Mesías en un pesebre, porque en otro sitio «no había lugar para ellos»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2,7). Fue testigo de la adoración de los pastores (cf.</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2,8-20) y de los Magos (cf.</w:t>
      </w:r>
      <w:r>
        <w:rPr>
          <w:rStyle w:val="apple-converted-space"/>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2,1-12), que representaban respectivamente el pueblo de Israel y los pueblos paganos.</w:t>
      </w:r>
      <w:r>
        <w:rPr>
          <w:rStyle w:val="apple-converted-space"/>
          <w:rFonts w:ascii="Tahoma" w:hAnsi="Tahoma" w:cs="Tahoma"/>
          <w:color w:val="000000"/>
          <w:sz w:val="22"/>
          <w:szCs w:val="22"/>
        </w:rPr>
        <w:t> </w:t>
      </w:r>
    </w:p>
    <w:p w14:paraId="32680080" w14:textId="77777777" w:rsidR="00CD344F" w:rsidRDefault="00CD344F" w:rsidP="00CD344F">
      <w:pPr>
        <w:pStyle w:val="NormalWeb"/>
        <w:rPr>
          <w:rFonts w:ascii="Tahoma" w:hAnsi="Tahoma" w:cs="Tahoma"/>
          <w:color w:val="000000"/>
          <w:sz w:val="22"/>
          <w:szCs w:val="22"/>
        </w:rPr>
      </w:pPr>
      <w:r>
        <w:rPr>
          <w:rFonts w:ascii="Tahoma" w:hAnsi="Tahoma" w:cs="Tahoma"/>
          <w:color w:val="000000"/>
          <w:sz w:val="22"/>
          <w:szCs w:val="22"/>
        </w:rPr>
        <w:t>Tuvo la valentía de asumir la paternidad legal de Jesús, a quien dio el nombre que le reveló el ángel: «Tú le pondrás por nombre Jesús, porque él salvará a su pueblo de sus pecados»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1,21). Como se sabe, en los pueblos antiguos poner un nombre a una persona o a una cosa significaba adquirir la pertenencia, como hizo Adán en el relato del Génesis (cf. 2,19-20).</w:t>
      </w:r>
      <w:r>
        <w:rPr>
          <w:rStyle w:val="apple-converted-space"/>
          <w:rFonts w:ascii="Tahoma" w:hAnsi="Tahoma" w:cs="Tahoma"/>
          <w:color w:val="000000"/>
          <w:sz w:val="22"/>
          <w:szCs w:val="22"/>
        </w:rPr>
        <w:t> </w:t>
      </w:r>
    </w:p>
    <w:p w14:paraId="5AE80ABC" w14:textId="77777777" w:rsidR="00CD344F" w:rsidRDefault="00CD344F" w:rsidP="00CD344F">
      <w:pPr>
        <w:pStyle w:val="NormalWeb"/>
        <w:rPr>
          <w:rFonts w:ascii="Tahoma" w:hAnsi="Tahoma" w:cs="Tahoma"/>
          <w:color w:val="000000"/>
          <w:sz w:val="22"/>
          <w:szCs w:val="22"/>
        </w:rPr>
      </w:pPr>
      <w:r>
        <w:rPr>
          <w:rFonts w:ascii="Tahoma" w:hAnsi="Tahoma" w:cs="Tahoma"/>
          <w:color w:val="000000"/>
          <w:sz w:val="22"/>
          <w:szCs w:val="22"/>
        </w:rPr>
        <w:t>En el templo, cuarenta días después del nacimiento, José, junto a la madre, presentó el Niño al Señor y escuchó sorprendido la profecía que Simeón pronunció sobre Jesús y María (cf.</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2,22-35). Para proteger a Jesús de Herodes, permaneció en Egipto como extranjero (cf.</w:t>
      </w:r>
      <w:r>
        <w:rPr>
          <w:rStyle w:val="apple-converted-space"/>
          <w:rFonts w:ascii="Tahoma" w:hAnsi="Tahoma" w:cs="Tahoma"/>
          <w:color w:val="000000"/>
          <w:sz w:val="22"/>
          <w:szCs w:val="22"/>
        </w:rPr>
        <w:t> </w:t>
      </w:r>
      <w:r>
        <w:rPr>
          <w:rFonts w:ascii="Tahoma" w:hAnsi="Tahoma" w:cs="Tahoma"/>
          <w:i/>
          <w:iCs/>
          <w:color w:val="000000"/>
          <w:sz w:val="22"/>
          <w:szCs w:val="22"/>
        </w:rPr>
        <w:t>Mt</w:t>
      </w:r>
      <w:r>
        <w:rPr>
          <w:rStyle w:val="apple-converted-space"/>
          <w:rFonts w:ascii="Tahoma" w:hAnsi="Tahoma" w:cs="Tahoma"/>
          <w:color w:val="000000"/>
          <w:sz w:val="22"/>
          <w:szCs w:val="22"/>
        </w:rPr>
        <w:t> </w:t>
      </w:r>
      <w:r>
        <w:rPr>
          <w:rFonts w:ascii="Tahoma" w:hAnsi="Tahoma" w:cs="Tahoma"/>
          <w:color w:val="000000"/>
          <w:sz w:val="22"/>
          <w:szCs w:val="22"/>
        </w:rPr>
        <w:t>2,13-18). De regreso en su tierra, vivió de manera oculta en el pequeño y desconocido pueblo de Nazaret, en Galilea —de donde, se decía: “No sale ningún profeta” y “no puede salir nada bueno” (cf.</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Jn</w:t>
      </w:r>
      <w:proofErr w:type="spellEnd"/>
      <w:r>
        <w:rPr>
          <w:rStyle w:val="apple-converted-space"/>
          <w:rFonts w:ascii="Tahoma" w:hAnsi="Tahoma" w:cs="Tahoma"/>
          <w:color w:val="000000"/>
          <w:sz w:val="22"/>
          <w:szCs w:val="22"/>
        </w:rPr>
        <w:t> </w:t>
      </w:r>
      <w:r>
        <w:rPr>
          <w:rFonts w:ascii="Tahoma" w:hAnsi="Tahoma" w:cs="Tahoma"/>
          <w:color w:val="000000"/>
          <w:sz w:val="22"/>
          <w:szCs w:val="22"/>
        </w:rPr>
        <w:t>7,52; 1,46)—, lejos de Belén, su ciudad de origen, y de Jerusalén, donde estaba el templo. Cuando, durante una peregrinación a Jerusalén, perdieron a Jesús, que tenía doce años, él y María lo buscaron angustiados y lo encontraron en el templo mientras discutía con los doctores de la ley (cf.</w:t>
      </w:r>
      <w:r>
        <w:rPr>
          <w:rStyle w:val="apple-converted-space"/>
          <w:rFonts w:ascii="Tahoma" w:hAnsi="Tahoma" w:cs="Tahoma"/>
          <w:color w:val="000000"/>
          <w:sz w:val="22"/>
          <w:szCs w:val="22"/>
        </w:rPr>
        <w:t> </w:t>
      </w:r>
      <w:proofErr w:type="spellStart"/>
      <w:r>
        <w:rPr>
          <w:rFonts w:ascii="Tahoma" w:hAnsi="Tahoma" w:cs="Tahoma"/>
          <w:i/>
          <w:iCs/>
          <w:color w:val="000000"/>
          <w:sz w:val="22"/>
          <w:szCs w:val="22"/>
        </w:rPr>
        <w:t>Lc</w:t>
      </w:r>
      <w:proofErr w:type="spellEnd"/>
      <w:r>
        <w:rPr>
          <w:rStyle w:val="apple-converted-space"/>
          <w:rFonts w:ascii="Tahoma" w:hAnsi="Tahoma" w:cs="Tahoma"/>
          <w:color w:val="000000"/>
          <w:sz w:val="22"/>
          <w:szCs w:val="22"/>
        </w:rPr>
        <w:t> </w:t>
      </w:r>
      <w:r>
        <w:rPr>
          <w:rFonts w:ascii="Tahoma" w:hAnsi="Tahoma" w:cs="Tahoma"/>
          <w:color w:val="000000"/>
          <w:sz w:val="22"/>
          <w:szCs w:val="22"/>
        </w:rPr>
        <w:t>2,41-50).</w:t>
      </w:r>
    </w:p>
    <w:p w14:paraId="12F0BF24" w14:textId="77777777" w:rsidR="001A2706" w:rsidRDefault="00CD344F" w:rsidP="001A2706">
      <w:pPr>
        <w:rPr>
          <w:rFonts w:ascii="Tahoma" w:hAnsi="Tahoma" w:cs="Tahoma"/>
          <w:color w:val="000000"/>
          <w:sz w:val="22"/>
          <w:szCs w:val="22"/>
        </w:rPr>
      </w:pPr>
      <w:r>
        <w:rPr>
          <w:rFonts w:ascii="Tahoma" w:hAnsi="Tahoma" w:cs="Tahoma"/>
          <w:color w:val="000000"/>
          <w:sz w:val="22"/>
          <w:szCs w:val="22"/>
        </w:rPr>
        <w:t>Después de María, Madre de Dios, ningún santo ocupa tanto espacio en el Magisterio pontificio como José, su esposo. Mis predecesores han profundizado en el mensaje contenido en los pocos datos transmitidos por los Evangelios para destacar su papel central en la historia de la salvación: el beato</w:t>
      </w:r>
      <w:r>
        <w:rPr>
          <w:rStyle w:val="apple-converted-space"/>
          <w:rFonts w:ascii="Tahoma" w:hAnsi="Tahoma" w:cs="Tahoma"/>
          <w:color w:val="000000"/>
          <w:sz w:val="22"/>
          <w:szCs w:val="22"/>
        </w:rPr>
        <w:t> </w:t>
      </w:r>
      <w:hyperlink r:id="rId5" w:history="1">
        <w:r>
          <w:rPr>
            <w:rStyle w:val="Hipervnculo"/>
            <w:rFonts w:ascii="Tahoma" w:hAnsi="Tahoma" w:cs="Tahoma"/>
            <w:color w:val="000000"/>
            <w:sz w:val="22"/>
            <w:szCs w:val="22"/>
          </w:rPr>
          <w:t>Pío IX</w:t>
        </w:r>
      </w:hyperlink>
      <w:r>
        <w:rPr>
          <w:rStyle w:val="apple-converted-space"/>
          <w:rFonts w:ascii="Tahoma" w:hAnsi="Tahoma" w:cs="Tahoma"/>
          <w:color w:val="000000"/>
          <w:sz w:val="22"/>
          <w:szCs w:val="22"/>
        </w:rPr>
        <w:t> </w:t>
      </w:r>
      <w:r>
        <w:rPr>
          <w:rFonts w:ascii="Tahoma" w:hAnsi="Tahoma" w:cs="Tahoma"/>
          <w:color w:val="000000"/>
          <w:sz w:val="22"/>
          <w:szCs w:val="22"/>
        </w:rPr>
        <w:t>lo declaró «Patrono de la Iglesia Católica»</w:t>
      </w:r>
      <w:bookmarkStart w:id="2" w:name="_ftnref2"/>
      <w:r>
        <w:rPr>
          <w:rFonts w:ascii="Tahoma" w:hAnsi="Tahoma" w:cs="Tahoma"/>
          <w:color w:val="000000"/>
          <w:sz w:val="22"/>
          <w:szCs w:val="22"/>
        </w:rPr>
        <w:fldChar w:fldCharType="begin"/>
      </w:r>
      <w:r>
        <w:rPr>
          <w:rFonts w:ascii="Tahoma" w:hAnsi="Tahoma" w:cs="Tahoma"/>
          <w:color w:val="000000"/>
          <w:sz w:val="22"/>
          <w:szCs w:val="22"/>
        </w:rPr>
        <w:instrText xml:space="preserve"> HYPERLINK "http://www.vatican.va/content/francesco/es/apost_letters/documents/papa-francesco-lettera-ap_20201208_patris-corde.html" \l "_ftn2" \o "" </w:instrText>
      </w:r>
      <w:r>
        <w:rPr>
          <w:rFonts w:ascii="Tahoma" w:hAnsi="Tahoma" w:cs="Tahoma"/>
          <w:color w:val="000000"/>
          <w:sz w:val="22"/>
          <w:szCs w:val="22"/>
        </w:rPr>
        <w:fldChar w:fldCharType="separate"/>
      </w:r>
      <w:r>
        <w:rPr>
          <w:rStyle w:val="Hipervnculo"/>
          <w:rFonts w:ascii="Tahoma" w:hAnsi="Tahoma" w:cs="Tahoma"/>
          <w:color w:val="000000"/>
          <w:sz w:val="22"/>
          <w:szCs w:val="22"/>
        </w:rPr>
        <w:t>[2]</w:t>
      </w:r>
      <w:r>
        <w:rPr>
          <w:rFonts w:ascii="Tahoma" w:hAnsi="Tahoma" w:cs="Tahoma"/>
          <w:color w:val="000000"/>
          <w:sz w:val="22"/>
          <w:szCs w:val="22"/>
        </w:rPr>
        <w:fldChar w:fldCharType="end"/>
      </w:r>
      <w:bookmarkEnd w:id="2"/>
      <w:r>
        <w:rPr>
          <w:rFonts w:ascii="Tahoma" w:hAnsi="Tahoma" w:cs="Tahoma"/>
          <w:color w:val="000000"/>
          <w:sz w:val="22"/>
          <w:szCs w:val="22"/>
        </w:rPr>
        <w:t>, el venerable</w:t>
      </w:r>
      <w:r>
        <w:rPr>
          <w:rStyle w:val="apple-converted-space"/>
          <w:rFonts w:ascii="Tahoma" w:hAnsi="Tahoma" w:cs="Tahoma"/>
          <w:color w:val="000000"/>
          <w:sz w:val="22"/>
          <w:szCs w:val="22"/>
        </w:rPr>
        <w:t> </w:t>
      </w:r>
      <w:hyperlink r:id="rId6" w:history="1">
        <w:r>
          <w:rPr>
            <w:rStyle w:val="Hipervnculo"/>
            <w:rFonts w:ascii="Tahoma" w:hAnsi="Tahoma" w:cs="Tahoma"/>
            <w:color w:val="000000"/>
            <w:sz w:val="22"/>
            <w:szCs w:val="22"/>
          </w:rPr>
          <w:t>Pío XII</w:t>
        </w:r>
      </w:hyperlink>
      <w:r>
        <w:rPr>
          <w:rStyle w:val="apple-converted-space"/>
          <w:rFonts w:ascii="Tahoma" w:hAnsi="Tahoma" w:cs="Tahoma"/>
          <w:color w:val="000000"/>
          <w:sz w:val="22"/>
          <w:szCs w:val="22"/>
        </w:rPr>
        <w:t> </w:t>
      </w:r>
      <w:r>
        <w:rPr>
          <w:rFonts w:ascii="Tahoma" w:hAnsi="Tahoma" w:cs="Tahoma"/>
          <w:color w:val="000000"/>
          <w:sz w:val="22"/>
          <w:szCs w:val="22"/>
        </w:rPr>
        <w:t>lo presentó como “Patrono de los trabajadores”</w:t>
      </w:r>
      <w:bookmarkStart w:id="3" w:name="_ftnref3"/>
      <w:r>
        <w:rPr>
          <w:rFonts w:ascii="Tahoma" w:hAnsi="Tahoma" w:cs="Tahoma"/>
          <w:color w:val="000000"/>
          <w:sz w:val="22"/>
          <w:szCs w:val="22"/>
        </w:rPr>
        <w:fldChar w:fldCharType="begin"/>
      </w:r>
      <w:r>
        <w:rPr>
          <w:rFonts w:ascii="Tahoma" w:hAnsi="Tahoma" w:cs="Tahoma"/>
          <w:color w:val="000000"/>
          <w:sz w:val="22"/>
          <w:szCs w:val="22"/>
        </w:rPr>
        <w:instrText xml:space="preserve"> HYPERLINK "http://www.vatican.va/content/francesco/es/apost_letters/documents/papa-francesco-lettera-ap_20201208_patris-corde.html" \l "_ftn3" \o "" </w:instrText>
      </w:r>
      <w:r>
        <w:rPr>
          <w:rFonts w:ascii="Tahoma" w:hAnsi="Tahoma" w:cs="Tahoma"/>
          <w:color w:val="000000"/>
          <w:sz w:val="22"/>
          <w:szCs w:val="22"/>
        </w:rPr>
        <w:fldChar w:fldCharType="separate"/>
      </w:r>
      <w:r>
        <w:rPr>
          <w:rStyle w:val="Hipervnculo"/>
          <w:rFonts w:ascii="Tahoma" w:hAnsi="Tahoma" w:cs="Tahoma"/>
          <w:color w:val="000000"/>
          <w:sz w:val="22"/>
          <w:szCs w:val="22"/>
        </w:rPr>
        <w:t>[3]</w:t>
      </w:r>
      <w:r>
        <w:rPr>
          <w:rFonts w:ascii="Tahoma" w:hAnsi="Tahoma" w:cs="Tahoma"/>
          <w:color w:val="000000"/>
          <w:sz w:val="22"/>
          <w:szCs w:val="22"/>
        </w:rPr>
        <w:fldChar w:fldCharType="end"/>
      </w:r>
      <w:bookmarkEnd w:id="3"/>
      <w:r>
        <w:rPr>
          <w:rFonts w:ascii="Tahoma" w:hAnsi="Tahoma" w:cs="Tahoma"/>
          <w:color w:val="000000"/>
          <w:sz w:val="22"/>
          <w:szCs w:val="22"/>
        </w:rPr>
        <w:t xml:space="preserve"> y </w:t>
      </w:r>
      <w:r>
        <w:rPr>
          <w:rFonts w:ascii="Tahoma" w:hAnsi="Tahoma" w:cs="Tahoma"/>
          <w:color w:val="000000"/>
          <w:sz w:val="22"/>
          <w:szCs w:val="22"/>
        </w:rPr>
        <w:lastRenderedPageBreak/>
        <w:t>san</w:t>
      </w:r>
      <w:r>
        <w:rPr>
          <w:rStyle w:val="apple-converted-space"/>
          <w:rFonts w:ascii="Tahoma" w:hAnsi="Tahoma" w:cs="Tahoma"/>
          <w:color w:val="000000"/>
          <w:sz w:val="22"/>
          <w:szCs w:val="22"/>
        </w:rPr>
        <w:t> </w:t>
      </w:r>
      <w:hyperlink r:id="rId7" w:history="1">
        <w:r>
          <w:rPr>
            <w:rStyle w:val="Hipervnculo"/>
            <w:rFonts w:ascii="Tahoma" w:hAnsi="Tahoma" w:cs="Tahoma"/>
            <w:color w:val="000000"/>
            <w:sz w:val="22"/>
            <w:szCs w:val="22"/>
          </w:rPr>
          <w:t>Juan Pablo II</w:t>
        </w:r>
      </w:hyperlink>
      <w:r>
        <w:rPr>
          <w:rStyle w:val="apple-converted-space"/>
          <w:rFonts w:ascii="Tahoma" w:hAnsi="Tahoma" w:cs="Tahoma"/>
          <w:color w:val="000000"/>
          <w:sz w:val="22"/>
          <w:szCs w:val="22"/>
        </w:rPr>
        <w:t> </w:t>
      </w:r>
      <w:r>
        <w:rPr>
          <w:rFonts w:ascii="Tahoma" w:hAnsi="Tahoma" w:cs="Tahoma"/>
          <w:color w:val="000000"/>
          <w:sz w:val="22"/>
          <w:szCs w:val="22"/>
        </w:rPr>
        <w:t>como «Custodio del Redentor»</w:t>
      </w:r>
      <w:bookmarkStart w:id="4" w:name="_ftnref4"/>
      <w:r>
        <w:rPr>
          <w:rFonts w:ascii="Tahoma" w:hAnsi="Tahoma" w:cs="Tahoma"/>
          <w:color w:val="000000"/>
          <w:sz w:val="22"/>
          <w:szCs w:val="22"/>
        </w:rPr>
        <w:fldChar w:fldCharType="begin"/>
      </w:r>
      <w:r>
        <w:rPr>
          <w:rFonts w:ascii="Tahoma" w:hAnsi="Tahoma" w:cs="Tahoma"/>
          <w:color w:val="000000"/>
          <w:sz w:val="22"/>
          <w:szCs w:val="22"/>
        </w:rPr>
        <w:instrText xml:space="preserve"> HYPERLINK "http://www.vatican.va/content/francesco/es/apost_letters/documents/papa-francesco-lettera-ap_20201208_patris-corde.html" \l "_ftn4" \o "" </w:instrText>
      </w:r>
      <w:r>
        <w:rPr>
          <w:rFonts w:ascii="Tahoma" w:hAnsi="Tahoma" w:cs="Tahoma"/>
          <w:color w:val="000000"/>
          <w:sz w:val="22"/>
          <w:szCs w:val="22"/>
        </w:rPr>
        <w:fldChar w:fldCharType="separate"/>
      </w:r>
      <w:r>
        <w:rPr>
          <w:rStyle w:val="Hipervnculo"/>
          <w:rFonts w:ascii="Tahoma" w:hAnsi="Tahoma" w:cs="Tahoma"/>
          <w:color w:val="000000"/>
          <w:sz w:val="22"/>
          <w:szCs w:val="22"/>
        </w:rPr>
        <w:t>[4]</w:t>
      </w:r>
      <w:r>
        <w:rPr>
          <w:rFonts w:ascii="Tahoma" w:hAnsi="Tahoma" w:cs="Tahoma"/>
          <w:color w:val="000000"/>
          <w:sz w:val="22"/>
          <w:szCs w:val="22"/>
        </w:rPr>
        <w:fldChar w:fldCharType="end"/>
      </w:r>
      <w:bookmarkEnd w:id="4"/>
      <w:r>
        <w:rPr>
          <w:rFonts w:ascii="Tahoma" w:hAnsi="Tahoma" w:cs="Tahoma"/>
          <w:color w:val="000000"/>
          <w:sz w:val="22"/>
          <w:szCs w:val="22"/>
        </w:rPr>
        <w:t xml:space="preserve">. El pueblo lo invoca como </w:t>
      </w:r>
      <w:r w:rsidR="001A2706">
        <w:rPr>
          <w:rFonts w:ascii="Tahoma" w:hAnsi="Tahoma" w:cs="Tahoma"/>
          <w:color w:val="000000"/>
          <w:sz w:val="22"/>
          <w:szCs w:val="22"/>
        </w:rPr>
        <w:t>Patrono de la buena muerte.</w:t>
      </w:r>
    </w:p>
    <w:p w14:paraId="38E190AF" w14:textId="77777777" w:rsidR="001A2706" w:rsidRDefault="001A2706" w:rsidP="001A2706">
      <w:pPr>
        <w:rPr>
          <w:rFonts w:ascii="Tahoma" w:eastAsia="Times New Roman" w:hAnsi="Tahoma" w:cs="Tahoma"/>
          <w:color w:val="000000"/>
          <w:sz w:val="22"/>
          <w:szCs w:val="22"/>
          <w:shd w:val="clear" w:color="auto" w:fill="FFFFFF"/>
          <w:lang w:eastAsia="es-ES_tradnl"/>
        </w:rPr>
      </w:pPr>
    </w:p>
    <w:p w14:paraId="407863CA" w14:textId="77777777" w:rsidR="001A2706" w:rsidRDefault="001A2706" w:rsidP="001A2706">
      <w:pPr>
        <w:rPr>
          <w:rFonts w:ascii="Tahoma" w:hAnsi="Tahoma" w:cs="Tahoma"/>
          <w:color w:val="000000"/>
          <w:sz w:val="22"/>
          <w:szCs w:val="22"/>
        </w:rPr>
      </w:pPr>
      <w:r w:rsidRPr="001A2706">
        <w:rPr>
          <w:rFonts w:ascii="Tahoma" w:eastAsia="Times New Roman" w:hAnsi="Tahoma" w:cs="Tahoma"/>
          <w:color w:val="000000"/>
          <w:sz w:val="22"/>
          <w:szCs w:val="22"/>
          <w:shd w:val="clear" w:color="auto" w:fill="FFFFFF"/>
          <w:lang w:eastAsia="es-ES_tradnl"/>
        </w:rPr>
        <w:t>Por eso, al cumplirse ciento cincuenta años de que el beato Pío IX, el 8 de diciembre de 1870, lo declarara como </w:t>
      </w:r>
      <w:r w:rsidRPr="001A2706">
        <w:rPr>
          <w:rFonts w:ascii="Tahoma" w:eastAsia="Times New Roman" w:hAnsi="Tahoma" w:cs="Tahoma"/>
          <w:i/>
          <w:iCs/>
          <w:color w:val="000000"/>
          <w:sz w:val="22"/>
          <w:szCs w:val="22"/>
          <w:lang w:eastAsia="es-ES_tradnl"/>
        </w:rPr>
        <w:t>Patrono de la Iglesia Católica</w:t>
      </w:r>
      <w:r w:rsidRPr="001A2706">
        <w:rPr>
          <w:rFonts w:ascii="Tahoma" w:eastAsia="Times New Roman" w:hAnsi="Tahoma" w:cs="Tahoma"/>
          <w:color w:val="000000"/>
          <w:sz w:val="22"/>
          <w:szCs w:val="22"/>
          <w:shd w:val="clear" w:color="auto" w:fill="FFFFFF"/>
          <w:lang w:eastAsia="es-ES_tradnl"/>
        </w:rPr>
        <w:t>, quisiera —como dice Jesús— que “la boca hable de aquello de lo que está lleno el corazón” (cf. </w:t>
      </w:r>
      <w:r w:rsidRPr="001A2706">
        <w:rPr>
          <w:rFonts w:ascii="Tahoma" w:eastAsia="Times New Roman" w:hAnsi="Tahoma" w:cs="Tahoma"/>
          <w:i/>
          <w:iCs/>
          <w:color w:val="000000"/>
          <w:sz w:val="22"/>
          <w:szCs w:val="22"/>
          <w:lang w:eastAsia="es-ES_tradnl"/>
        </w:rPr>
        <w:t>Mt</w:t>
      </w:r>
      <w:r w:rsidRPr="001A2706">
        <w:rPr>
          <w:rFonts w:ascii="Tahoma" w:eastAsia="Times New Roman" w:hAnsi="Tahoma" w:cs="Tahoma"/>
          <w:color w:val="000000"/>
          <w:sz w:val="22"/>
          <w:szCs w:val="22"/>
          <w:shd w:val="clear" w:color="auto" w:fill="FFFFFF"/>
          <w:lang w:eastAsia="es-ES_tradnl"/>
        </w:rPr>
        <w:t> 12,34), para compartir con ustedes algunas reflexiones personales sobre esta figura extraordinaria, tan cercana a nuestra condición humana. Este deseo ha crecido durante estos meses de pandemia, en los que podemos experimentar, en medio de la crisis que nos está golpeando, que «nuestras vidas están tejidas y sostenidas por personas comunes —corrientemente olvidadas— que no aparecen en portadas de diarios y de revistas, ni en las grandes pasarelas del último </w:t>
      </w:r>
      <w:r w:rsidRPr="001A2706">
        <w:rPr>
          <w:rFonts w:ascii="Tahoma" w:eastAsia="Times New Roman" w:hAnsi="Tahoma" w:cs="Tahoma"/>
          <w:i/>
          <w:iCs/>
          <w:color w:val="000000"/>
          <w:sz w:val="22"/>
          <w:szCs w:val="22"/>
          <w:lang w:eastAsia="es-ES_tradnl"/>
        </w:rPr>
        <w:t>show</w:t>
      </w:r>
      <w:r w:rsidRPr="001A2706">
        <w:rPr>
          <w:rFonts w:ascii="Tahoma" w:eastAsia="Times New Roman" w:hAnsi="Tahoma" w:cs="Tahoma"/>
          <w:color w:val="000000"/>
          <w:sz w:val="22"/>
          <w:szCs w:val="22"/>
          <w:shd w:val="clear" w:color="auto" w:fill="FFFFFF"/>
          <w:lang w:eastAsia="es-ES_tradnl"/>
        </w:rPr>
        <w:t> pero, sin lugar a dudas, están escribiendo hoy los acontecimientos decisivos de nuestra historia: médicos, enfermeros y enfermeras, encargados de reponer los productos en los supermercados, limpiadoras, cuidadoras, transportistas, fuerzas de seguridad, voluntarios, sacerdotes, religiosas y tantos pero tantos otros que comprendieron que nadie se salva solo. […] Cuánta gente cada día demuestra paciencia e infunde esperanza, cuidándose de no sembrar pánico sino corresponsabilidad. Cuántos padres, madres, abuelos y abuelas, docentes muestran a nuestros niños, con gestos pequeños y cotidianos, cómo enfrentar y transitar una crisis readaptando rutinas, levantando miradas e impulsando la oración. Cuántas personas rezan, ofrecen e interceden por el bien de todos»</w:t>
      </w:r>
      <w:bookmarkStart w:id="5" w:name="_ftnref6"/>
      <w:r w:rsidRPr="001A2706">
        <w:rPr>
          <w:rFonts w:ascii="Times New Roman" w:eastAsia="Times New Roman" w:hAnsi="Times New Roman" w:cs="Times New Roman"/>
          <w:lang w:eastAsia="es-ES_tradnl"/>
        </w:rPr>
        <w:fldChar w:fldCharType="begin"/>
      </w:r>
      <w:r w:rsidRPr="001A2706">
        <w:rPr>
          <w:rFonts w:ascii="Times New Roman" w:eastAsia="Times New Roman" w:hAnsi="Times New Roman" w:cs="Times New Roman"/>
          <w:lang w:eastAsia="es-ES_tradnl"/>
        </w:rPr>
        <w:instrText xml:space="preserve"> HYPERLINK "http://www.vatican.va/content/francesco/es/apost_letters/documents/papa-francesco-lettera-ap_20201208_patris-corde.html" \l "_ftn6" \o "" </w:instrText>
      </w:r>
      <w:r w:rsidRPr="001A2706">
        <w:rPr>
          <w:rFonts w:ascii="Times New Roman" w:eastAsia="Times New Roman" w:hAnsi="Times New Roman" w:cs="Times New Roman"/>
          <w:lang w:eastAsia="es-ES_tradnl"/>
        </w:rPr>
        <w:fldChar w:fldCharType="separate"/>
      </w:r>
      <w:r w:rsidRPr="001A2706">
        <w:rPr>
          <w:rFonts w:ascii="Tahoma" w:eastAsia="Times New Roman" w:hAnsi="Tahoma" w:cs="Tahoma"/>
          <w:color w:val="000000"/>
          <w:sz w:val="22"/>
          <w:szCs w:val="22"/>
          <w:u w:val="single"/>
          <w:lang w:eastAsia="es-ES_tradnl"/>
        </w:rPr>
        <w:t>[6]</w:t>
      </w:r>
      <w:r w:rsidRPr="001A2706">
        <w:rPr>
          <w:rFonts w:ascii="Times New Roman" w:eastAsia="Times New Roman" w:hAnsi="Times New Roman" w:cs="Times New Roman"/>
          <w:lang w:eastAsia="es-ES_tradnl"/>
        </w:rPr>
        <w:fldChar w:fldCharType="end"/>
      </w:r>
      <w:bookmarkEnd w:id="5"/>
      <w:r w:rsidRPr="001A2706">
        <w:rPr>
          <w:rFonts w:ascii="Tahoma" w:eastAsia="Times New Roman" w:hAnsi="Tahoma" w:cs="Tahoma"/>
          <w:color w:val="000000"/>
          <w:sz w:val="22"/>
          <w:szCs w:val="22"/>
          <w:shd w:val="clear" w:color="auto" w:fill="FFFFFF"/>
          <w:lang w:eastAsia="es-ES_tradnl"/>
        </w:rPr>
        <w:t>. Todos pueden encontrar en san José —el hombre que pasa desapercibido, el hombre de la presencia diaria, discreta y oculta— un intercesor, un apoyo y una guía en tiempos de dificultad. San José nos recuerda que todos los que están aparentemente ocultos o en “segunda línea” tienen un protagonismo sin igual en la historia de la salvación. A todos ellos va dirigida una palabra de reconocimiento y de gratitud.</w:t>
      </w:r>
    </w:p>
    <w:p w14:paraId="65990A88" w14:textId="77777777" w:rsidR="001A2706" w:rsidRPr="001A2706" w:rsidRDefault="001A2706" w:rsidP="001A2706">
      <w:pPr>
        <w:rPr>
          <w:rFonts w:ascii="Tahoma" w:hAnsi="Tahoma" w:cs="Tahoma"/>
          <w:color w:val="000000"/>
          <w:sz w:val="22"/>
          <w:szCs w:val="22"/>
        </w:rPr>
      </w:pPr>
    </w:p>
    <w:p w14:paraId="3B35EE8E"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t>1. </w:t>
      </w:r>
      <w:r w:rsidRPr="00CD344F">
        <w:rPr>
          <w:rFonts w:ascii="Tahoma" w:eastAsia="Times New Roman" w:hAnsi="Tahoma" w:cs="Tahoma"/>
          <w:i/>
          <w:iCs/>
          <w:color w:val="000000"/>
          <w:sz w:val="22"/>
          <w:szCs w:val="22"/>
          <w:lang w:eastAsia="es-ES_tradnl"/>
        </w:rPr>
        <w:t>Padre amado</w:t>
      </w:r>
    </w:p>
    <w:p w14:paraId="1F0D8DB0"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t>La grandeza de san José consiste en el hecho de que fue el esposo de María y el padre de Jesús. En cuanto tal, «entró en el servicio de toda la economía de la encarnación», como dice san Juan Crisóstomo</w:t>
      </w:r>
      <w:bookmarkStart w:id="6" w:name="_ftnref7"/>
      <w:r w:rsidRPr="00CD344F">
        <w:rPr>
          <w:rFonts w:ascii="Tahoma" w:eastAsia="Times New Roman" w:hAnsi="Tahoma" w:cs="Tahoma"/>
          <w:color w:val="000000"/>
          <w:sz w:val="22"/>
          <w:szCs w:val="22"/>
          <w:lang w:eastAsia="es-ES_tradnl"/>
        </w:rPr>
        <w:fldChar w:fldCharType="begin"/>
      </w:r>
      <w:r w:rsidRPr="00CD344F">
        <w:rPr>
          <w:rFonts w:ascii="Tahoma" w:eastAsia="Times New Roman" w:hAnsi="Tahoma" w:cs="Tahoma"/>
          <w:color w:val="000000"/>
          <w:sz w:val="22"/>
          <w:szCs w:val="22"/>
          <w:lang w:eastAsia="es-ES_tradnl"/>
        </w:rPr>
        <w:instrText xml:space="preserve"> HYPERLINK "http://www.vatican.va/content/francesco/es/apost_letters/documents/papa-francesco-lettera-ap_20201208_patris-corde.html" \l "_ftn7" \o "" </w:instrText>
      </w:r>
      <w:r w:rsidRPr="00CD344F">
        <w:rPr>
          <w:rFonts w:ascii="Tahoma" w:eastAsia="Times New Roman" w:hAnsi="Tahoma" w:cs="Tahoma"/>
          <w:color w:val="000000"/>
          <w:sz w:val="22"/>
          <w:szCs w:val="22"/>
          <w:lang w:eastAsia="es-ES_tradnl"/>
        </w:rPr>
        <w:fldChar w:fldCharType="separate"/>
      </w:r>
      <w:r w:rsidRPr="00CD344F">
        <w:rPr>
          <w:rFonts w:ascii="Tahoma" w:eastAsia="Times New Roman" w:hAnsi="Tahoma" w:cs="Tahoma"/>
          <w:color w:val="000000"/>
          <w:sz w:val="22"/>
          <w:szCs w:val="22"/>
          <w:u w:val="single"/>
          <w:lang w:eastAsia="es-ES_tradnl"/>
        </w:rPr>
        <w:t>[7]</w:t>
      </w:r>
      <w:r w:rsidRPr="00CD344F">
        <w:rPr>
          <w:rFonts w:ascii="Tahoma" w:eastAsia="Times New Roman" w:hAnsi="Tahoma" w:cs="Tahoma"/>
          <w:color w:val="000000"/>
          <w:sz w:val="22"/>
          <w:szCs w:val="22"/>
          <w:lang w:eastAsia="es-ES_tradnl"/>
        </w:rPr>
        <w:fldChar w:fldCharType="end"/>
      </w:r>
      <w:bookmarkEnd w:id="6"/>
      <w:r w:rsidRPr="00CD344F">
        <w:rPr>
          <w:rFonts w:ascii="Tahoma" w:eastAsia="Times New Roman" w:hAnsi="Tahoma" w:cs="Tahoma"/>
          <w:color w:val="000000"/>
          <w:sz w:val="22"/>
          <w:szCs w:val="22"/>
          <w:lang w:eastAsia="es-ES_tradnl"/>
        </w:rPr>
        <w:t>.</w:t>
      </w:r>
    </w:p>
    <w:p w14:paraId="66015314"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t>San Pablo VI observa que su paternidad se manifestó concretamente «al haber hecho de su vida un servicio, un sacrificio al misterio de la Encarnación y a la misión redentora que le está unida; al haber utilizado la autoridad legal, que le correspondía en la Sagrada Familia, para hacer de ella un don total de sí mismo, de su vida, de su trabajo; al haber convertido su vocación humana de amor doméstico en la oblación sobrehumana de sí mismo, de su corazón y de toda capacidad en el amor puesto al servicio del Mesías nacido en su casa»</w:t>
      </w:r>
      <w:bookmarkStart w:id="7" w:name="_ftnref8"/>
      <w:r w:rsidRPr="00CD344F">
        <w:rPr>
          <w:rFonts w:ascii="Tahoma" w:eastAsia="Times New Roman" w:hAnsi="Tahoma" w:cs="Tahoma"/>
          <w:color w:val="000000"/>
          <w:sz w:val="22"/>
          <w:szCs w:val="22"/>
          <w:lang w:eastAsia="es-ES_tradnl"/>
        </w:rPr>
        <w:fldChar w:fldCharType="begin"/>
      </w:r>
      <w:r w:rsidRPr="00CD344F">
        <w:rPr>
          <w:rFonts w:ascii="Tahoma" w:eastAsia="Times New Roman" w:hAnsi="Tahoma" w:cs="Tahoma"/>
          <w:color w:val="000000"/>
          <w:sz w:val="22"/>
          <w:szCs w:val="22"/>
          <w:lang w:eastAsia="es-ES_tradnl"/>
        </w:rPr>
        <w:instrText xml:space="preserve"> HYPERLINK "http://www.vatican.va/content/francesco/es/apost_letters/documents/papa-francesco-lettera-ap_20201208_patris-corde.html" \l "_ftn8" \o "" </w:instrText>
      </w:r>
      <w:r w:rsidRPr="00CD344F">
        <w:rPr>
          <w:rFonts w:ascii="Tahoma" w:eastAsia="Times New Roman" w:hAnsi="Tahoma" w:cs="Tahoma"/>
          <w:color w:val="000000"/>
          <w:sz w:val="22"/>
          <w:szCs w:val="22"/>
          <w:lang w:eastAsia="es-ES_tradnl"/>
        </w:rPr>
        <w:fldChar w:fldCharType="separate"/>
      </w:r>
      <w:r w:rsidRPr="00CD344F">
        <w:rPr>
          <w:rFonts w:ascii="Tahoma" w:eastAsia="Times New Roman" w:hAnsi="Tahoma" w:cs="Tahoma"/>
          <w:color w:val="000000"/>
          <w:sz w:val="22"/>
          <w:szCs w:val="22"/>
          <w:u w:val="single"/>
          <w:lang w:eastAsia="es-ES_tradnl"/>
        </w:rPr>
        <w:t>[8]</w:t>
      </w:r>
      <w:r w:rsidRPr="00CD344F">
        <w:rPr>
          <w:rFonts w:ascii="Tahoma" w:eastAsia="Times New Roman" w:hAnsi="Tahoma" w:cs="Tahoma"/>
          <w:color w:val="000000"/>
          <w:sz w:val="22"/>
          <w:szCs w:val="22"/>
          <w:lang w:eastAsia="es-ES_tradnl"/>
        </w:rPr>
        <w:fldChar w:fldCharType="end"/>
      </w:r>
      <w:bookmarkEnd w:id="7"/>
      <w:r w:rsidRPr="00CD344F">
        <w:rPr>
          <w:rFonts w:ascii="Tahoma" w:eastAsia="Times New Roman" w:hAnsi="Tahoma" w:cs="Tahoma"/>
          <w:color w:val="000000"/>
          <w:sz w:val="22"/>
          <w:szCs w:val="22"/>
          <w:lang w:eastAsia="es-ES_tradnl"/>
        </w:rPr>
        <w:t>.</w:t>
      </w:r>
    </w:p>
    <w:p w14:paraId="5BDD24AB"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t>Por su papel en la historia de la salvación, san José es un padre que siempre ha sido amado por el pueblo cristiano, como lo demuestra el hecho de que se le han dedicado numerosas iglesias en todo el mundo; que muchos institutos religiosos, hermandades y grupos eclesiales se inspiran en su espiritualidad y llevan su nombre; y que desde hace siglos se celebran en su honor diversas representaciones sagradas. Muchos santos y santas le tuvieron una gran devoción, entre ellos Teresa de Ávila, quien lo tomó como abogado e intercesor, encomendándose mucho a él y recibiendo todas las gracias que le pedía. Alentada por su experiencia, la santa persuadía a otros para que le fueran devotos</w:t>
      </w:r>
      <w:bookmarkStart w:id="8" w:name="_ftnref9"/>
      <w:r w:rsidRPr="00CD344F">
        <w:rPr>
          <w:rFonts w:ascii="Tahoma" w:eastAsia="Times New Roman" w:hAnsi="Tahoma" w:cs="Tahoma"/>
          <w:color w:val="000000"/>
          <w:sz w:val="22"/>
          <w:szCs w:val="22"/>
          <w:lang w:eastAsia="es-ES_tradnl"/>
        </w:rPr>
        <w:fldChar w:fldCharType="begin"/>
      </w:r>
      <w:r w:rsidRPr="00CD344F">
        <w:rPr>
          <w:rFonts w:ascii="Tahoma" w:eastAsia="Times New Roman" w:hAnsi="Tahoma" w:cs="Tahoma"/>
          <w:color w:val="000000"/>
          <w:sz w:val="22"/>
          <w:szCs w:val="22"/>
          <w:lang w:eastAsia="es-ES_tradnl"/>
        </w:rPr>
        <w:instrText xml:space="preserve"> HYPERLINK "http://www.vatican.va/content/francesco/es/apost_letters/documents/papa-francesco-lettera-ap_20201208_patris-corde.html" \l "_ftn9" \o "" </w:instrText>
      </w:r>
      <w:r w:rsidRPr="00CD344F">
        <w:rPr>
          <w:rFonts w:ascii="Tahoma" w:eastAsia="Times New Roman" w:hAnsi="Tahoma" w:cs="Tahoma"/>
          <w:color w:val="000000"/>
          <w:sz w:val="22"/>
          <w:szCs w:val="22"/>
          <w:lang w:eastAsia="es-ES_tradnl"/>
        </w:rPr>
        <w:fldChar w:fldCharType="separate"/>
      </w:r>
      <w:r w:rsidRPr="00CD344F">
        <w:rPr>
          <w:rFonts w:ascii="Tahoma" w:eastAsia="Times New Roman" w:hAnsi="Tahoma" w:cs="Tahoma"/>
          <w:color w:val="000000"/>
          <w:sz w:val="22"/>
          <w:szCs w:val="22"/>
          <w:u w:val="single"/>
          <w:lang w:eastAsia="es-ES_tradnl"/>
        </w:rPr>
        <w:t>[9]</w:t>
      </w:r>
      <w:r w:rsidRPr="00CD344F">
        <w:rPr>
          <w:rFonts w:ascii="Tahoma" w:eastAsia="Times New Roman" w:hAnsi="Tahoma" w:cs="Tahoma"/>
          <w:color w:val="000000"/>
          <w:sz w:val="22"/>
          <w:szCs w:val="22"/>
          <w:lang w:eastAsia="es-ES_tradnl"/>
        </w:rPr>
        <w:fldChar w:fldCharType="end"/>
      </w:r>
      <w:bookmarkEnd w:id="8"/>
      <w:r w:rsidRPr="00CD344F">
        <w:rPr>
          <w:rFonts w:ascii="Tahoma" w:eastAsia="Times New Roman" w:hAnsi="Tahoma" w:cs="Tahoma"/>
          <w:color w:val="000000"/>
          <w:sz w:val="22"/>
          <w:szCs w:val="22"/>
          <w:lang w:eastAsia="es-ES_tradnl"/>
        </w:rPr>
        <w:t>.</w:t>
      </w:r>
    </w:p>
    <w:p w14:paraId="4DD49E5E"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lastRenderedPageBreak/>
        <w:t>En todos los libros de oraciones se encuentra alguna oración a san José. Invocaciones particulares que le son dirigidas todos los miércoles y especialmente durante todo el mes de marzo, tradicionalmente dedicado a él</w:t>
      </w:r>
      <w:bookmarkStart w:id="9" w:name="_ftnref10"/>
      <w:r w:rsidRPr="00CD344F">
        <w:rPr>
          <w:rFonts w:ascii="Tahoma" w:eastAsia="Times New Roman" w:hAnsi="Tahoma" w:cs="Tahoma"/>
          <w:color w:val="000000"/>
          <w:sz w:val="22"/>
          <w:szCs w:val="22"/>
          <w:lang w:eastAsia="es-ES_tradnl"/>
        </w:rPr>
        <w:fldChar w:fldCharType="begin"/>
      </w:r>
      <w:r w:rsidRPr="00CD344F">
        <w:rPr>
          <w:rFonts w:ascii="Tahoma" w:eastAsia="Times New Roman" w:hAnsi="Tahoma" w:cs="Tahoma"/>
          <w:color w:val="000000"/>
          <w:sz w:val="22"/>
          <w:szCs w:val="22"/>
          <w:lang w:eastAsia="es-ES_tradnl"/>
        </w:rPr>
        <w:instrText xml:space="preserve"> HYPERLINK "http://www.vatican.va/content/francesco/es/apost_letters/documents/papa-francesco-lettera-ap_20201208_patris-corde.html" \l "_ftn10" \o "" </w:instrText>
      </w:r>
      <w:r w:rsidRPr="00CD344F">
        <w:rPr>
          <w:rFonts w:ascii="Tahoma" w:eastAsia="Times New Roman" w:hAnsi="Tahoma" w:cs="Tahoma"/>
          <w:color w:val="000000"/>
          <w:sz w:val="22"/>
          <w:szCs w:val="22"/>
          <w:lang w:eastAsia="es-ES_tradnl"/>
        </w:rPr>
        <w:fldChar w:fldCharType="separate"/>
      </w:r>
      <w:r w:rsidRPr="00CD344F">
        <w:rPr>
          <w:rFonts w:ascii="Tahoma" w:eastAsia="Times New Roman" w:hAnsi="Tahoma" w:cs="Tahoma"/>
          <w:color w:val="000000"/>
          <w:sz w:val="22"/>
          <w:szCs w:val="22"/>
          <w:u w:val="single"/>
          <w:lang w:eastAsia="es-ES_tradnl"/>
        </w:rPr>
        <w:t>[10]</w:t>
      </w:r>
      <w:r w:rsidRPr="00CD344F">
        <w:rPr>
          <w:rFonts w:ascii="Tahoma" w:eastAsia="Times New Roman" w:hAnsi="Tahoma" w:cs="Tahoma"/>
          <w:color w:val="000000"/>
          <w:sz w:val="22"/>
          <w:szCs w:val="22"/>
          <w:lang w:eastAsia="es-ES_tradnl"/>
        </w:rPr>
        <w:fldChar w:fldCharType="end"/>
      </w:r>
      <w:bookmarkEnd w:id="9"/>
      <w:r w:rsidRPr="00CD344F">
        <w:rPr>
          <w:rFonts w:ascii="Tahoma" w:eastAsia="Times New Roman" w:hAnsi="Tahoma" w:cs="Tahoma"/>
          <w:color w:val="000000"/>
          <w:sz w:val="22"/>
          <w:szCs w:val="22"/>
          <w:lang w:eastAsia="es-ES_tradnl"/>
        </w:rPr>
        <w:t>. </w:t>
      </w:r>
    </w:p>
    <w:p w14:paraId="70CC6BB7"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t>La confianza del pueblo en san José se resume en la expresión “</w:t>
      </w:r>
      <w:proofErr w:type="spellStart"/>
      <w:r w:rsidRPr="00CD344F">
        <w:rPr>
          <w:rFonts w:ascii="Tahoma" w:eastAsia="Times New Roman" w:hAnsi="Tahoma" w:cs="Tahoma"/>
          <w:i/>
          <w:iCs/>
          <w:color w:val="000000"/>
          <w:sz w:val="22"/>
          <w:szCs w:val="22"/>
          <w:lang w:eastAsia="es-ES_tradnl"/>
        </w:rPr>
        <w:t>Ite</w:t>
      </w:r>
      <w:proofErr w:type="spellEnd"/>
      <w:r w:rsidRPr="00CD344F">
        <w:rPr>
          <w:rFonts w:ascii="Tahoma" w:eastAsia="Times New Roman" w:hAnsi="Tahoma" w:cs="Tahoma"/>
          <w:i/>
          <w:iCs/>
          <w:color w:val="000000"/>
          <w:sz w:val="22"/>
          <w:szCs w:val="22"/>
          <w:lang w:eastAsia="es-ES_tradnl"/>
        </w:rPr>
        <w:t xml:space="preserve"> ad </w:t>
      </w:r>
      <w:proofErr w:type="spellStart"/>
      <w:r w:rsidRPr="00CD344F">
        <w:rPr>
          <w:rFonts w:ascii="Tahoma" w:eastAsia="Times New Roman" w:hAnsi="Tahoma" w:cs="Tahoma"/>
          <w:i/>
          <w:iCs/>
          <w:color w:val="000000"/>
          <w:sz w:val="22"/>
          <w:szCs w:val="22"/>
          <w:lang w:eastAsia="es-ES_tradnl"/>
        </w:rPr>
        <w:t>Ioseph</w:t>
      </w:r>
      <w:proofErr w:type="spellEnd"/>
      <w:r w:rsidRPr="00CD344F">
        <w:rPr>
          <w:rFonts w:ascii="Tahoma" w:eastAsia="Times New Roman" w:hAnsi="Tahoma" w:cs="Tahoma"/>
          <w:color w:val="000000"/>
          <w:sz w:val="22"/>
          <w:szCs w:val="22"/>
          <w:lang w:eastAsia="es-ES_tradnl"/>
        </w:rPr>
        <w:t>”, que hace referencia al tiempo de hambruna en Egipto, cuando la gente le pedía pan al faraón y él les respondía: «Vayan donde José y hagan lo que él les diga» (</w:t>
      </w:r>
      <w:proofErr w:type="spellStart"/>
      <w:r w:rsidRPr="00CD344F">
        <w:rPr>
          <w:rFonts w:ascii="Tahoma" w:eastAsia="Times New Roman" w:hAnsi="Tahoma" w:cs="Tahoma"/>
          <w:i/>
          <w:iCs/>
          <w:color w:val="000000"/>
          <w:sz w:val="22"/>
          <w:szCs w:val="22"/>
          <w:lang w:eastAsia="es-ES_tradnl"/>
        </w:rPr>
        <w:t>Gn</w:t>
      </w:r>
      <w:proofErr w:type="spellEnd"/>
      <w:r w:rsidRPr="00CD344F">
        <w:rPr>
          <w:rFonts w:ascii="Tahoma" w:eastAsia="Times New Roman" w:hAnsi="Tahoma" w:cs="Tahoma"/>
          <w:color w:val="000000"/>
          <w:sz w:val="22"/>
          <w:szCs w:val="22"/>
          <w:lang w:eastAsia="es-ES_tradnl"/>
        </w:rPr>
        <w:t> 41,55). Se trataba de José el hijo de Jacob, a quien sus hermanos vendieron por envidia (cf. </w:t>
      </w:r>
      <w:proofErr w:type="spellStart"/>
      <w:r w:rsidRPr="00CD344F">
        <w:rPr>
          <w:rFonts w:ascii="Tahoma" w:eastAsia="Times New Roman" w:hAnsi="Tahoma" w:cs="Tahoma"/>
          <w:i/>
          <w:iCs/>
          <w:color w:val="000000"/>
          <w:sz w:val="22"/>
          <w:szCs w:val="22"/>
          <w:lang w:eastAsia="es-ES_tradnl"/>
        </w:rPr>
        <w:t>Gn</w:t>
      </w:r>
      <w:proofErr w:type="spellEnd"/>
      <w:r w:rsidRPr="00CD344F">
        <w:rPr>
          <w:rFonts w:ascii="Tahoma" w:eastAsia="Times New Roman" w:hAnsi="Tahoma" w:cs="Tahoma"/>
          <w:color w:val="000000"/>
          <w:sz w:val="22"/>
          <w:szCs w:val="22"/>
          <w:lang w:eastAsia="es-ES_tradnl"/>
        </w:rPr>
        <w:t> 37,11-28) y que —siguiendo el relato bíblico— se convirtió posteriormente en virrey de Egipto (cf. </w:t>
      </w:r>
      <w:proofErr w:type="spellStart"/>
      <w:r w:rsidRPr="00CD344F">
        <w:rPr>
          <w:rFonts w:ascii="Tahoma" w:eastAsia="Times New Roman" w:hAnsi="Tahoma" w:cs="Tahoma"/>
          <w:i/>
          <w:iCs/>
          <w:color w:val="000000"/>
          <w:sz w:val="22"/>
          <w:szCs w:val="22"/>
          <w:lang w:eastAsia="es-ES_tradnl"/>
        </w:rPr>
        <w:t>Gn</w:t>
      </w:r>
      <w:proofErr w:type="spellEnd"/>
      <w:r w:rsidRPr="00CD344F">
        <w:rPr>
          <w:rFonts w:ascii="Tahoma" w:eastAsia="Times New Roman" w:hAnsi="Tahoma" w:cs="Tahoma"/>
          <w:color w:val="000000"/>
          <w:sz w:val="22"/>
          <w:szCs w:val="22"/>
          <w:lang w:eastAsia="es-ES_tradnl"/>
        </w:rPr>
        <w:t> 41,41-44).</w:t>
      </w:r>
    </w:p>
    <w:p w14:paraId="6D4D3713" w14:textId="77777777" w:rsidR="00CD344F" w:rsidRPr="00CD344F" w:rsidRDefault="00CD344F" w:rsidP="00CD344F">
      <w:pPr>
        <w:spacing w:before="100" w:beforeAutospacing="1" w:after="100" w:afterAutospacing="1"/>
        <w:rPr>
          <w:rFonts w:ascii="Tahoma" w:eastAsia="Times New Roman" w:hAnsi="Tahoma" w:cs="Tahoma"/>
          <w:color w:val="000000"/>
          <w:sz w:val="22"/>
          <w:szCs w:val="22"/>
          <w:lang w:eastAsia="es-ES_tradnl"/>
        </w:rPr>
      </w:pPr>
      <w:r w:rsidRPr="00CD344F">
        <w:rPr>
          <w:rFonts w:ascii="Tahoma" w:eastAsia="Times New Roman" w:hAnsi="Tahoma" w:cs="Tahoma"/>
          <w:color w:val="000000"/>
          <w:sz w:val="22"/>
          <w:szCs w:val="22"/>
          <w:lang w:eastAsia="es-ES_tradnl"/>
        </w:rPr>
        <w:t>Como descendiente de David (cf. </w:t>
      </w:r>
      <w:r w:rsidRPr="00CD344F">
        <w:rPr>
          <w:rFonts w:ascii="Tahoma" w:eastAsia="Times New Roman" w:hAnsi="Tahoma" w:cs="Tahoma"/>
          <w:i/>
          <w:iCs/>
          <w:color w:val="000000"/>
          <w:sz w:val="22"/>
          <w:szCs w:val="22"/>
          <w:lang w:eastAsia="es-ES_tradnl"/>
        </w:rPr>
        <w:t>Mt</w:t>
      </w:r>
      <w:r w:rsidRPr="00CD344F">
        <w:rPr>
          <w:rFonts w:ascii="Tahoma" w:eastAsia="Times New Roman" w:hAnsi="Tahoma" w:cs="Tahoma"/>
          <w:color w:val="000000"/>
          <w:sz w:val="22"/>
          <w:szCs w:val="22"/>
          <w:lang w:eastAsia="es-ES_tradnl"/>
        </w:rPr>
        <w:t> 1,16.20), de cuya raíz debía brotar Jesús según la promesa hecha a David por el profeta Natán (cf. </w:t>
      </w:r>
      <w:r w:rsidRPr="00CD344F">
        <w:rPr>
          <w:rFonts w:ascii="Tahoma" w:eastAsia="Times New Roman" w:hAnsi="Tahoma" w:cs="Tahoma"/>
          <w:i/>
          <w:iCs/>
          <w:color w:val="000000"/>
          <w:sz w:val="22"/>
          <w:szCs w:val="22"/>
          <w:lang w:eastAsia="es-ES_tradnl"/>
        </w:rPr>
        <w:t>2 Sam</w:t>
      </w:r>
      <w:r w:rsidRPr="00CD344F">
        <w:rPr>
          <w:rFonts w:ascii="Tahoma" w:eastAsia="Times New Roman" w:hAnsi="Tahoma" w:cs="Tahoma"/>
          <w:color w:val="000000"/>
          <w:sz w:val="22"/>
          <w:szCs w:val="22"/>
          <w:lang w:eastAsia="es-ES_tradnl"/>
        </w:rPr>
        <w:t> 7), y como esposo de María de Nazaret, san José es la pieza que une el Antiguo y el Nuevo Testamento. </w:t>
      </w:r>
    </w:p>
    <w:p w14:paraId="4646CDD0" w14:textId="77777777" w:rsidR="00CD344F" w:rsidRPr="00CD344F" w:rsidRDefault="00CD344F" w:rsidP="00CD344F">
      <w:pPr>
        <w:rPr>
          <w:rFonts w:ascii="Times New Roman" w:eastAsia="Times New Roman" w:hAnsi="Times New Roman" w:cs="Times New Roman"/>
          <w:lang w:eastAsia="es-ES_tradnl"/>
        </w:rPr>
      </w:pPr>
    </w:p>
    <w:p w14:paraId="25526C6C" w14:textId="77777777" w:rsidR="00CD344F" w:rsidRPr="0002226A" w:rsidRDefault="00CD344F" w:rsidP="00CD344F">
      <w:pPr>
        <w:pStyle w:val="NormalWeb"/>
        <w:rPr>
          <w:rFonts w:ascii="Tahoma" w:hAnsi="Tahoma" w:cs="Tahoma"/>
          <w:color w:val="000000"/>
          <w:sz w:val="22"/>
          <w:szCs w:val="22"/>
        </w:rPr>
      </w:pPr>
    </w:p>
    <w:p w14:paraId="66162620" w14:textId="77777777" w:rsidR="0002226A" w:rsidRPr="0002226A" w:rsidRDefault="0002226A" w:rsidP="0002226A">
      <w:pPr>
        <w:rPr>
          <w:sz w:val="28"/>
          <w:szCs w:val="28"/>
        </w:rPr>
      </w:pPr>
    </w:p>
    <w:sectPr w:rsidR="0002226A" w:rsidRPr="0002226A" w:rsidSect="003317A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6A"/>
    <w:rsid w:val="0002226A"/>
    <w:rsid w:val="00026197"/>
    <w:rsid w:val="001A2706"/>
    <w:rsid w:val="003317A8"/>
    <w:rsid w:val="0082775A"/>
    <w:rsid w:val="009132A4"/>
    <w:rsid w:val="00CD34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E3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2226A"/>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2226A"/>
  </w:style>
  <w:style w:type="character" w:customStyle="1" w:styleId="Ttulo2Car">
    <w:name w:val="Título 2 Car"/>
    <w:basedOn w:val="Fuentedeprrafopredeter"/>
    <w:link w:val="Ttulo2"/>
    <w:uiPriority w:val="9"/>
    <w:rsid w:val="0002226A"/>
    <w:rPr>
      <w:rFonts w:ascii="Times New Roman" w:eastAsia="Times New Roman" w:hAnsi="Times New Roman" w:cs="Times New Roman"/>
      <w:b/>
      <w:bCs/>
      <w:sz w:val="36"/>
      <w:szCs w:val="36"/>
      <w:lang w:eastAsia="es-ES_tradnl"/>
    </w:rPr>
  </w:style>
  <w:style w:type="character" w:customStyle="1" w:styleId="vkif2">
    <w:name w:val="vkif2"/>
    <w:basedOn w:val="Fuentedeprrafopredeter"/>
    <w:rsid w:val="0002226A"/>
  </w:style>
  <w:style w:type="paragraph" w:customStyle="1" w:styleId="xzvds">
    <w:name w:val="xzvds"/>
    <w:basedOn w:val="Normal"/>
    <w:rsid w:val="0002226A"/>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unhideWhenUsed/>
    <w:rsid w:val="00CD344F"/>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CD34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2226A"/>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2226A"/>
  </w:style>
  <w:style w:type="character" w:customStyle="1" w:styleId="Ttulo2Car">
    <w:name w:val="Título 2 Car"/>
    <w:basedOn w:val="Fuentedeprrafopredeter"/>
    <w:link w:val="Ttulo2"/>
    <w:uiPriority w:val="9"/>
    <w:rsid w:val="0002226A"/>
    <w:rPr>
      <w:rFonts w:ascii="Times New Roman" w:eastAsia="Times New Roman" w:hAnsi="Times New Roman" w:cs="Times New Roman"/>
      <w:b/>
      <w:bCs/>
      <w:sz w:val="36"/>
      <w:szCs w:val="36"/>
      <w:lang w:eastAsia="es-ES_tradnl"/>
    </w:rPr>
  </w:style>
  <w:style w:type="character" w:customStyle="1" w:styleId="vkif2">
    <w:name w:val="vkif2"/>
    <w:basedOn w:val="Fuentedeprrafopredeter"/>
    <w:rsid w:val="0002226A"/>
  </w:style>
  <w:style w:type="paragraph" w:customStyle="1" w:styleId="xzvds">
    <w:name w:val="xzvds"/>
    <w:basedOn w:val="Normal"/>
    <w:rsid w:val="0002226A"/>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unhideWhenUsed/>
    <w:rsid w:val="00CD344F"/>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CD3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4079">
      <w:bodyDiv w:val="1"/>
      <w:marLeft w:val="0"/>
      <w:marRight w:val="0"/>
      <w:marTop w:val="0"/>
      <w:marBottom w:val="0"/>
      <w:divBdr>
        <w:top w:val="none" w:sz="0" w:space="0" w:color="auto"/>
        <w:left w:val="none" w:sz="0" w:space="0" w:color="auto"/>
        <w:bottom w:val="none" w:sz="0" w:space="0" w:color="auto"/>
        <w:right w:val="none" w:sz="0" w:space="0" w:color="auto"/>
      </w:divBdr>
    </w:div>
    <w:div w:id="129984192">
      <w:bodyDiv w:val="1"/>
      <w:marLeft w:val="0"/>
      <w:marRight w:val="0"/>
      <w:marTop w:val="0"/>
      <w:marBottom w:val="0"/>
      <w:divBdr>
        <w:top w:val="none" w:sz="0" w:space="0" w:color="auto"/>
        <w:left w:val="none" w:sz="0" w:space="0" w:color="auto"/>
        <w:bottom w:val="none" w:sz="0" w:space="0" w:color="auto"/>
        <w:right w:val="none" w:sz="0" w:space="0" w:color="auto"/>
      </w:divBdr>
    </w:div>
    <w:div w:id="347296370">
      <w:bodyDiv w:val="1"/>
      <w:marLeft w:val="0"/>
      <w:marRight w:val="0"/>
      <w:marTop w:val="0"/>
      <w:marBottom w:val="0"/>
      <w:divBdr>
        <w:top w:val="none" w:sz="0" w:space="0" w:color="auto"/>
        <w:left w:val="none" w:sz="0" w:space="0" w:color="auto"/>
        <w:bottom w:val="none" w:sz="0" w:space="0" w:color="auto"/>
        <w:right w:val="none" w:sz="0" w:space="0" w:color="auto"/>
      </w:divBdr>
      <w:divsChild>
        <w:div w:id="195704183">
          <w:marLeft w:val="0"/>
          <w:marRight w:val="0"/>
          <w:marTop w:val="0"/>
          <w:marBottom w:val="0"/>
          <w:divBdr>
            <w:top w:val="none" w:sz="0" w:space="0" w:color="auto"/>
            <w:left w:val="none" w:sz="0" w:space="0" w:color="auto"/>
            <w:bottom w:val="none" w:sz="0" w:space="0" w:color="auto"/>
            <w:right w:val="none" w:sz="0" w:space="0" w:color="auto"/>
          </w:divBdr>
        </w:div>
        <w:div w:id="1058283886">
          <w:marLeft w:val="0"/>
          <w:marRight w:val="0"/>
          <w:marTop w:val="0"/>
          <w:marBottom w:val="0"/>
          <w:divBdr>
            <w:top w:val="none" w:sz="0" w:space="0" w:color="auto"/>
            <w:left w:val="none" w:sz="0" w:space="0" w:color="auto"/>
            <w:bottom w:val="none" w:sz="0" w:space="0" w:color="auto"/>
            <w:right w:val="none" w:sz="0" w:space="0" w:color="auto"/>
          </w:divBdr>
        </w:div>
        <w:div w:id="1341007632">
          <w:marLeft w:val="0"/>
          <w:marRight w:val="0"/>
          <w:marTop w:val="225"/>
          <w:marBottom w:val="225"/>
          <w:divBdr>
            <w:top w:val="none" w:sz="0" w:space="0" w:color="auto"/>
            <w:left w:val="none" w:sz="0" w:space="0" w:color="auto"/>
            <w:bottom w:val="none" w:sz="0" w:space="0" w:color="auto"/>
            <w:right w:val="none" w:sz="0" w:space="0" w:color="auto"/>
          </w:divBdr>
          <w:divsChild>
            <w:div w:id="602687205">
              <w:marLeft w:val="0"/>
              <w:marRight w:val="0"/>
              <w:marTop w:val="0"/>
              <w:marBottom w:val="0"/>
              <w:divBdr>
                <w:top w:val="none" w:sz="0" w:space="0" w:color="auto"/>
                <w:left w:val="none" w:sz="0" w:space="0" w:color="auto"/>
                <w:bottom w:val="none" w:sz="0" w:space="0" w:color="auto"/>
                <w:right w:val="none" w:sz="0" w:space="0" w:color="auto"/>
              </w:divBdr>
              <w:divsChild>
                <w:div w:id="1708604821">
                  <w:marLeft w:val="0"/>
                  <w:marRight w:val="0"/>
                  <w:marTop w:val="0"/>
                  <w:marBottom w:val="0"/>
                  <w:divBdr>
                    <w:top w:val="none" w:sz="0" w:space="0" w:color="auto"/>
                    <w:left w:val="none" w:sz="0" w:space="0" w:color="auto"/>
                    <w:bottom w:val="none" w:sz="0" w:space="0" w:color="auto"/>
                    <w:right w:val="none" w:sz="0" w:space="0" w:color="auto"/>
                  </w:divBdr>
                  <w:divsChild>
                    <w:div w:id="3503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557340">
      <w:bodyDiv w:val="1"/>
      <w:marLeft w:val="0"/>
      <w:marRight w:val="0"/>
      <w:marTop w:val="0"/>
      <w:marBottom w:val="0"/>
      <w:divBdr>
        <w:top w:val="none" w:sz="0" w:space="0" w:color="auto"/>
        <w:left w:val="none" w:sz="0" w:space="0" w:color="auto"/>
        <w:bottom w:val="none" w:sz="0" w:space="0" w:color="auto"/>
        <w:right w:val="none" w:sz="0" w:space="0" w:color="auto"/>
      </w:divBdr>
    </w:div>
    <w:div w:id="1718430607">
      <w:bodyDiv w:val="1"/>
      <w:marLeft w:val="0"/>
      <w:marRight w:val="0"/>
      <w:marTop w:val="0"/>
      <w:marBottom w:val="0"/>
      <w:divBdr>
        <w:top w:val="none" w:sz="0" w:space="0" w:color="auto"/>
        <w:left w:val="none" w:sz="0" w:space="0" w:color="auto"/>
        <w:bottom w:val="none" w:sz="0" w:space="0" w:color="auto"/>
        <w:right w:val="none" w:sz="0" w:space="0" w:color="auto"/>
      </w:divBdr>
    </w:div>
    <w:div w:id="19579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atican.va/content/pius-ix/es.html" TargetMode="External"/><Relationship Id="rId6" Type="http://schemas.openxmlformats.org/officeDocument/2006/relationships/hyperlink" Target="http://www.vatican.va/content/pius-xii/es.html" TargetMode="External"/><Relationship Id="rId7" Type="http://schemas.openxmlformats.org/officeDocument/2006/relationships/hyperlink" Target="http://www.vatican.va/content/john-paul-ii/es.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1315</Words>
  <Characters>7235</Characters>
  <Application>Microsoft Macintosh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Salesianos SMX</cp:lastModifiedBy>
  <cp:revision>2</cp:revision>
  <dcterms:created xsi:type="dcterms:W3CDTF">2021-03-02T21:56:00Z</dcterms:created>
  <dcterms:modified xsi:type="dcterms:W3CDTF">2021-03-03T11:51:00Z</dcterms:modified>
</cp:coreProperties>
</file>